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300"/>
        <w:ind w:hanging="0" w:left="0"/>
        <w:jc w:val="center"/>
        <w:textAlignment w:val="baseline"/>
        <w:outlineLvl w:val="0"/>
        <w:rPr>
          <w:rFonts w:ascii="Verdana" w:hAnsi="Verdana" w:eastAsia="Times New Roman" w:cs="Times New Roman"/>
          <w:b/>
          <w:bCs/>
          <w:color w:val="F58220"/>
          <w:kern w:val="2"/>
          <w:sz w:val="27"/>
          <w:szCs w:val="27"/>
          <w:lang w:eastAsia="pl-PL"/>
        </w:rPr>
      </w:pPr>
      <w:r>
        <w:rPr>
          <w:rFonts w:eastAsia="Times New Roman" w:cs="Times New Roman" w:ascii="Verdana" w:hAnsi="Verdana"/>
          <w:b/>
          <w:bCs/>
          <w:color w:val="F58220"/>
          <w:kern w:val="2"/>
          <w:sz w:val="27"/>
          <w:szCs w:val="27"/>
          <w:lang w:eastAsia="pl-PL"/>
        </w:rPr>
        <w:t xml:space="preserve">KLAUZULA INFORMACYJNA </w:t>
      </w:r>
    </w:p>
    <w:p>
      <w:pPr>
        <w:pStyle w:val="Normal"/>
        <w:numPr>
          <w:ilvl w:val="0"/>
          <w:numId w:val="0"/>
        </w:numPr>
        <w:spacing w:lineRule="auto" w:line="240" w:before="0" w:after="300"/>
        <w:ind w:hanging="0" w:left="0"/>
        <w:jc w:val="center"/>
        <w:textAlignment w:val="baseline"/>
        <w:outlineLvl w:val="0"/>
        <w:rPr>
          <w:rFonts w:ascii="Verdana" w:hAnsi="Verdana" w:eastAsia="Times New Roman" w:cs="Times New Roman"/>
          <w:b/>
          <w:bCs/>
          <w:color w:val="F58220"/>
          <w:kern w:val="2"/>
          <w:sz w:val="27"/>
          <w:szCs w:val="27"/>
          <w:lang w:eastAsia="pl-PL"/>
        </w:rPr>
      </w:pPr>
      <w:r>
        <w:rPr>
          <w:rFonts w:eastAsia="Times New Roman" w:cs="Times New Roman" w:ascii="Verdana" w:hAnsi="Verdana"/>
          <w:b/>
          <w:bCs/>
          <w:color w:val="F58220"/>
          <w:kern w:val="2"/>
          <w:sz w:val="27"/>
          <w:szCs w:val="27"/>
          <w:lang w:eastAsia="pl-PL"/>
        </w:rPr>
        <w:t>dotycząca przetwarzania danych osobowych osób fizycznych będących stroną umowy, osób reprezentujących stronę umowy, w tym pełnomocników i osób wskazanych do kontaktu lub realizacji umowy oraz podwykonawców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Współadministratorzy podjęli decyzję o zawarciu, jako jeden Zamawiający, umowy na</w:t>
      </w:r>
      <w:r>
        <w:rPr/>
        <w:t xml:space="preserve"> </w:t>
      </w: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roboty budowlane związane z realizacją zadania inwestycyjnego pn.  „Rozbudowa ulicy Wyszogrodzkiej w ciągu drogi krajowej nr 62 na odcinku od ulicy Armii Krajowej do granicy miasta Płocka. Etap I - odcinek od ul. Armii Krajowej do ulicy Harcerskiej (wraz ze skrzyżowaniem)”.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  <w:br/>
        <w:t xml:space="preserve">z późn. zm.), dalej RODO,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Zamawiający</w:t>
      </w: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 informuje: </w:t>
      </w:r>
    </w:p>
    <w:p>
      <w:pPr>
        <w:pStyle w:val="Normal"/>
        <w:numPr>
          <w:ilvl w:val="0"/>
          <w:numId w:val="0"/>
        </w:numPr>
        <w:spacing w:lineRule="auto" w:line="240" w:before="0" w:after="300"/>
        <w:ind w:hanging="0" w:left="0"/>
        <w:jc w:val="center"/>
        <w:textAlignment w:val="baseline"/>
        <w:outlineLvl w:val="0"/>
        <w:rPr>
          <w:rFonts w:ascii="Verdana" w:hAnsi="Verdana" w:eastAsia="Times New Roman" w:cs="Times New Roman"/>
          <w:b/>
          <w:bCs/>
          <w:color w:val="F58220"/>
          <w:kern w:val="2"/>
          <w:sz w:val="27"/>
          <w:szCs w:val="27"/>
          <w:lang w:eastAsia="pl-PL"/>
        </w:rPr>
      </w:pPr>
      <w:r>
        <w:rPr>
          <w:rFonts w:eastAsia="Times New Roman" w:cs="Times New Roman" w:ascii="Verdana" w:hAnsi="Verdana"/>
          <w:b/>
          <w:bCs/>
          <w:color w:val="F58220"/>
          <w:kern w:val="2"/>
          <w:sz w:val="27"/>
          <w:szCs w:val="27"/>
          <w:lang w:eastAsia="pl-PL"/>
        </w:rPr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 xml:space="preserve">TOŻSAMOŚĆ I DANE KONTAKTOWE ADMINISTRATORA 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Administratorami Pani/Pana danych osobowych są w ramach zawartej umowy o współadministrowaniu danymi osobowymi: 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Gmina - Miasto Płock,</w:t>
      </w:r>
    </w:p>
    <w:p>
      <w:pPr>
        <w:pStyle w:val="ListParagraph"/>
        <w:spacing w:before="0" w:after="0"/>
        <w:contextualSpacing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pl. Stary Rynek 1, 09 – 400 Płock</w:t>
      </w:r>
    </w:p>
    <w:p>
      <w:pPr>
        <w:pStyle w:val="ListParagraph"/>
        <w:spacing w:before="0" w:after="0"/>
        <w:contextualSpacing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tel. 600960587</w:t>
      </w:r>
    </w:p>
    <w:p>
      <w:pPr>
        <w:pStyle w:val="ListParagraph"/>
        <w:spacing w:before="0" w:after="0"/>
        <w:contextualSpacing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e-mail:iod@plock.eu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Generalny Dyrektor Dróg Krajowych i Autostrad, </w:t>
      </w:r>
    </w:p>
    <w:p>
      <w:pPr>
        <w:pStyle w:val="ListParagraph"/>
        <w:spacing w:before="0" w:after="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ul. Wronia 53, 00-874 Warszawa, </w:t>
      </w:r>
    </w:p>
    <w:p>
      <w:pPr>
        <w:pStyle w:val="ListParagraph"/>
        <w:spacing w:before="0" w:after="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tel. (022) 375 88 88, </w:t>
      </w:r>
    </w:p>
    <w:p>
      <w:pPr>
        <w:pStyle w:val="ListParagraph"/>
        <w:spacing w:before="0" w:after="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e-mail:kancelaria@gddkia.gov.pl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val="en-US"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val="en-US" w:eastAsia="pl-PL"/>
        </w:rPr>
        <w:tab/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zwani dalej „Współadministratorami”.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Z każdym ze Współadministratorów może się Pani/Pan kontaktować pisemnie kierując korespondencję na adresy wskazane powyżej. 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UMOWA O WSPÓŁADMINISTROWANIU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Wspóladministratorzy przetwarzają wspólnie dane osobowe w celu zawarcia oraz realizacji umów związanych z postępowaniami w sprawie udzielenia zamówienia publicznego. Wspóladministratorzy mogą przetwarzać dane osobowe także w celu ustalenia, dochodzenia lub obrony roszczeń związanych z wyżej wskazanymi postępowaniami oraz umowami.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Współadministratorzy przetwarzają dane osobowe dotyczące wykonawców, ich pracowników i współpracowników, podwykonawców, ich pracowników i współpracowników, pełnomocników, przedstawicieli oraz członków komisji przetargowych.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Każdy ze Współadministratorów odpowiada za bezpieczeństwo i zgodność z prawem przetwarzania danych osobowych którymi dysponuje, zarówno w zakresie bezpieczeństwa fizycznego dostępu do budynków i pomieszczeń, jak i w zakresie bezpieczeństwa teleinformatycznego, w tym środków służących do przekazywania tych danych drugiemu współadministratorowi. 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Szczegółowe informacje o zasadach na jakich odbywa się współadministrowanie określa umowa zawarta pomiędzy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Gminą – Miasto Płock</w:t>
      </w: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, a GDDKiA, dostępna pod adresem: ……………..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DANE KONTAKTOWE INSPEKTORA OCHRONY DANYCH</w:t>
      </w:r>
    </w:p>
    <w:p>
      <w:pPr>
        <w:pStyle w:val="Normal"/>
        <w:spacing w:lineRule="atLeast" w:line="300" w:before="0" w:after="0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Współadministratorzy ustali </w:t>
      </w:r>
      <w:r>
        <w:rPr>
          <w:rFonts w:eastAsia="Times New Roman" w:cs="Times New Roman" w:ascii="Verdana" w:hAnsi="Verdana"/>
          <w:color w:themeColor="text1" w:val="000000"/>
          <w:sz w:val="18"/>
          <w:szCs w:val="18"/>
          <w:shd w:fill="auto" w:val="clear"/>
          <w:lang w:eastAsia="pl-PL"/>
        </w:rPr>
        <w:t xml:space="preserve">wspólny punkt kontaktowy, do którego można zwracać się z wszelkimi sprawami dotyczącymi przetwarzania danych osobowych za pośrednictwem adresu e-mail: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iod@plock.eu.</w:t>
      </w:r>
    </w:p>
    <w:p>
      <w:pPr>
        <w:pStyle w:val="Normal"/>
        <w:spacing w:lineRule="atLeast" w:line="300" w:before="0" w:after="0"/>
        <w:textAlignment w:val="baseline"/>
        <w:rPr>
          <w:rFonts w:ascii="Verdana" w:hAnsi="Verdana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CELE I PODSTAWY PRZETWARZANIA DANYCH OSOBOWYCH</w:t>
      </w:r>
    </w:p>
    <w:p>
      <w:pPr>
        <w:pStyle w:val="Normal"/>
        <w:spacing w:before="0" w:after="120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  <w:t>Pani/Pana dane osobowe przetwarzane są w celu zawarcia i realizacji umowy, na podstawie: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contextualSpacing w:val="false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stosunku do osób będących stroną umowy lub osób reprezentujących stronę umowy: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art. 6 ust. 1 lit. b RODO - przetwarzanie jest niezbędne do wykonania umowy, której stroną jest osoba, której dane dotyczą lub do podjęcia działań na żądanie osoby, której dane dotyczą, przed zawarciem umowy;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art. 6 ust. 1 lit. c RODO - przetwarzanie jest niezbędne do wypełnienia obowiązku prawnego ciążącego na Administratorze, w szczególności w związku z przepisami ustawy z dnia 27 sierpnia 2009 r. o finansach publicznych,  prawa podatkowego, ustawy z dnia 23 kwietnia 1964 r. - Kodeks cywilny, ustawy z dnia 11 września </w:t>
        <w:br/>
        <w:t>2019 r. - Prawo zamówień publicznych, ustawy z dnia 14 lipca 1983 r. o narodowym zasobie archiwalnym i archiwach,</w:t>
      </w:r>
    </w:p>
    <w:p>
      <w:pPr>
        <w:pStyle w:val="ListParagraph"/>
        <w:spacing w:before="0" w:after="0"/>
        <w:ind w:left="1056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contextualSpacing w:val="false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stosunku do osób niebędących stroną umowy, ale biorących udział w jej realizacji oraz osób, których dane Administrator uzyskał na podstawie umowy: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art. 6 ust. 1 lit. f RODO - przetwarzanie jest niezbędne do celów wynikających </w:t>
        <w:br/>
        <w:t xml:space="preserve">z prawnie uzasadnionych interesów Administratora, które obejmują konieczność przetwarzania danych osobowych osób wyznaczonych do kontaktu i realizacji umowy; </w:t>
      </w:r>
    </w:p>
    <w:p>
      <w:pPr>
        <w:pStyle w:val="ListParagraph"/>
        <w:spacing w:before="0" w:after="0"/>
        <w:ind w:left="1056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contextualSpacing w:val="false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stosunku do wszystkich kategorii osób: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art. 6 ust. 1 lit. c RODO - przetwarzanie jest niezbędne do wypełnienia obowiązku prawnego ciążącego na Administratorze w związku z przepisami ustawy z dnia </w:t>
        <w:br/>
        <w:t>6 września 2001 r. o dostępie do informacji publicznej</w:t>
      </w:r>
      <w:r>
        <w:rPr>
          <w:rFonts w:ascii="Verdana" w:hAnsi="Verdana"/>
          <w:bCs/>
          <w:sz w:val="18"/>
          <w:szCs w:val="18"/>
        </w:rPr>
        <w:t>;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art. 6 ust. 1 lit. f RODO - przetwarzanie jest niezbędne w celu realizacji prawnie uzasadnionych interesów administratora danych, polegających na obronie przed roszczeniami kierowanymi w stosunku do Zamawiającego. </w:t>
      </w:r>
    </w:p>
    <w:p>
      <w:pPr>
        <w:pStyle w:val="ListParagraph"/>
        <w:suppressAutoHyphens w:val="true"/>
        <w:spacing w:lineRule="auto" w:line="240" w:before="0" w:after="0"/>
        <w:ind w:left="1068"/>
        <w:contextualSpacing w:val="false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spacing w:before="0" w:after="0"/>
        <w:ind w:left="105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KATEGORIE ODNOŚNYCH DANYCH OSOBOWYCH</w:t>
      </w:r>
    </w:p>
    <w:p>
      <w:pPr>
        <w:pStyle w:val="ListParagraph"/>
        <w:spacing w:lineRule="atLeast" w:line="300" w:before="0" w:after="0"/>
        <w:ind w:left="36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</w:r>
    </w:p>
    <w:p>
      <w:pPr>
        <w:pStyle w:val="Normal"/>
        <w:spacing w:lineRule="atLeast" w:line="300" w:before="0" w:after="0"/>
        <w:ind w:left="36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Kategorie przetwarzanych Pani/Pana danych osobowych obejmują: 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Imię i nazwisko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Adres e-mail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Nr telefonu 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Stanowisko służbowe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Nazwa i adres pracodawcy, lub innego podmiotu z którym Państwo współpracujecie, 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Opracowywane przez Państwa dokumenty, opinie i stanowiska, które są bezpośrednio związane z realizacją Umowy,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W przypadku organizowania spotkań lub wideokonferencji – Państwa wizerunek oraz wypowiadane przez Państwa opinie i stanowiska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Numer uprawnień zawodowych – dot. m.in. projektantów i kierowników budowy,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Nr dowodu osobistego/nr paszportu oraz PESEL – jeżeli dane te są zawarte w treści pełnomocnictw,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doświadczenie zawodowe lub wykształcenie – jeżeli odpowiednie doświadczenie zawodowe lub wykształcenie pracowników jest wymogiem określonym w umowie,</w:t>
      </w:r>
    </w:p>
    <w:p>
      <w:pPr>
        <w:pStyle w:val="ListParagraph"/>
        <w:numPr>
          <w:ilvl w:val="0"/>
          <w:numId w:val="7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Nr NIP, nr REGON, nr rachunku bankowego – dotyczy osób fizycznych będących stronami Umów podwykonawczych.</w:t>
      </w:r>
    </w:p>
    <w:p>
      <w:pPr>
        <w:pStyle w:val="ListParagraph"/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 xml:space="preserve">ŹRÓDŁO POCHODZENIA DANYCH 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Współadministratorzy otrzymują Państwa dane osobowe bezpośrednio od Państwa albo od Wykonawców, Podwykonawców lub dalszych Podwykonawców Umowy. 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ODBIORCY DANYCH OSOBOWYCH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Odbiorcami Państwa danych osobowych mogą być w szczególności:</w:t>
      </w:r>
    </w:p>
    <w:p>
      <w:pPr>
        <w:pStyle w:val="ListParagraph"/>
        <w:numPr>
          <w:ilvl w:val="0"/>
          <w:numId w:val="1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Wykonawcy, Podwykonawcy lub dalsi Podwykonawcy Umowy, </w:t>
      </w:r>
    </w:p>
    <w:p>
      <w:pPr>
        <w:pStyle w:val="ListParagraph"/>
        <w:numPr>
          <w:ilvl w:val="0"/>
          <w:numId w:val="1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Organy administracji publicznej wydające rozstrzygnięcia wymagane do realizacji Umowy</w:t>
      </w:r>
    </w:p>
    <w:p>
      <w:pPr>
        <w:pStyle w:val="ListParagraph"/>
        <w:numPr>
          <w:ilvl w:val="0"/>
          <w:numId w:val="1"/>
        </w:numPr>
        <w:spacing w:lineRule="atLeast" w:line="300" w:before="0" w:after="0"/>
        <w:contextualSpacing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podmioty, przetwarzające dane osobowe na zlecenie Współadministratora, w szczególności te, z którymi zawarto umowy na świadczenie usług serwisowych dla użytkowanych systemów informatycznych. 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W ramach funkcjonowania systemów teleinformatycznych GDDKiA Pani/Pana dane osobowe mogą być przechowywane w centrach przetwarzania danych (serwerach chmurowych) znajdujących się w państwach trzecich. Podstawą takiego działania są standardowe klauzule umowne (art. 46 ust. 2 lit c RODO). Szczegółowe informacje na temat warunków przechowywania Państwa danych osobowych na terenie państw trzecich możne udzielić </w:t>
      </w:r>
      <w:r>
        <w:rPr>
          <w:rFonts w:eastAsia="Times New Roman" w:cs="Times New Roman" w:ascii="Verdana" w:hAnsi="Verdana"/>
          <w:color w:themeColor="text1" w:val="000000"/>
          <w:sz w:val="18"/>
          <w:szCs w:val="18"/>
          <w:shd w:fill="auto" w:val="clear"/>
          <w:lang w:eastAsia="pl-PL"/>
        </w:rPr>
        <w:t xml:space="preserve">Inspektor Ochrony Danych – kontakt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shd w:fill="auto" w:val="clear"/>
            <w:lang w:eastAsia="pl-PL"/>
          </w:rPr>
          <w:t>iod@gddkia.gov.pl</w:t>
        </w:r>
      </w:hyperlink>
      <w:r>
        <w:rPr>
          <w:rStyle w:val="Hyperlink"/>
          <w:rFonts w:eastAsia="Times New Roman" w:cs="Times New Roman" w:ascii="Times New Roman" w:hAnsi="Times New Roman"/>
          <w:sz w:val="24"/>
          <w:szCs w:val="24"/>
          <w:shd w:fill="auto" w:val="clear"/>
          <w:lang w:eastAsia="pl-PL"/>
        </w:rPr>
        <w:t>.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OKRES PRZECHOWYWANIA DANYCH OSOBOWYCH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Dane osobowe będą przechowywane przez okres niezbędny do realizacji celów przetwarzania określonych w pkt 3 lub do momentu wygaśnięcia obowiązków ciążących na Administratorze, a po upływie tego okresu będą archiwizowane zgodnie z okresem wynikającym z przepisów ustawy z dnia 14 lipca 1983 r. o narodowym zasobie archiwalnym i archiwach (Dz. U. z 2020 r. poz. 164, z późn. zm.) oraz przepisów wydanych na podstawie tej ustawy. </w:t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</w:r>
    </w:p>
    <w:p>
      <w:pPr>
        <w:pStyle w:val="Normal"/>
        <w:spacing w:lineRule="atLeast" w:line="300" w:before="0" w:after="0"/>
        <w:jc w:val="both"/>
        <w:textAlignment w:val="baseline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Dokumentacja związana z realizacją Umowy jest przechowywana i zostanie zarchiwizowana w siedzibie Urzędu Miasta Płocka, pl. Stary Rynek 1, 09-400 Płock oraz w siedzibie GDDKiA,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ul.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Mińska 25, 03-808 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Warszaw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>a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pl-PL"/>
        </w:rPr>
        <w:t xml:space="preserve">. 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PRAWA OSÓB, KTÓRYCH DANE DOTYCZĄ</w:t>
      </w:r>
    </w:p>
    <w:p>
      <w:pPr>
        <w:pStyle w:val="Normal"/>
        <w:spacing w:lineRule="exact" w:line="240" w:before="0" w:after="120"/>
        <w:ind w:left="72"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Przysługują Państwu następujące prawa: </w:t>
      </w:r>
    </w:p>
    <w:p>
      <w:pPr>
        <w:pStyle w:val="ListParagraph"/>
        <w:numPr>
          <w:ilvl w:val="0"/>
          <w:numId w:val="6"/>
        </w:numPr>
        <w:spacing w:lineRule="exact" w:line="240" w:before="0" w:after="12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dostępu do treści swoich danych osobowych (art. 15 RODO),</w:t>
      </w:r>
    </w:p>
    <w:p>
      <w:pPr>
        <w:pStyle w:val="ListParagraph"/>
        <w:numPr>
          <w:ilvl w:val="0"/>
          <w:numId w:val="6"/>
        </w:numPr>
        <w:spacing w:lineRule="exact" w:line="240" w:before="0" w:after="12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sprostowania danych osobowych (art. 16 RODO), </w:t>
      </w:r>
      <w:bookmarkStart w:id="0" w:name="_GoBack"/>
      <w:bookmarkEnd w:id="0"/>
    </w:p>
    <w:p>
      <w:pPr>
        <w:pStyle w:val="ListParagraph"/>
        <w:numPr>
          <w:ilvl w:val="0"/>
          <w:numId w:val="6"/>
        </w:numPr>
        <w:spacing w:lineRule="exact" w:line="240" w:before="0" w:after="12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usunięcia danych jeżeli zachodzi jedna z okoliczności określonych w art. 17 RODO,</w:t>
      </w:r>
    </w:p>
    <w:p>
      <w:pPr>
        <w:pStyle w:val="ListParagraph"/>
        <w:numPr>
          <w:ilvl w:val="0"/>
          <w:numId w:val="6"/>
        </w:numPr>
        <w:spacing w:lineRule="exact" w:line="240" w:before="0" w:after="12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ograniczenia przetwarzania danych osobowych (art. 18 RODO), z zastrzeżeniem przypadków, o których mowa w art. 18 ust. 2 RODO,</w:t>
      </w:r>
    </w:p>
    <w:p>
      <w:pPr>
        <w:pStyle w:val="ListParagraph"/>
        <w:numPr>
          <w:ilvl w:val="0"/>
          <w:numId w:val="6"/>
        </w:numPr>
        <w:spacing w:lineRule="exact" w:line="240" w:before="0" w:after="120"/>
        <w:contextualSpacing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do sprzeciwu wobec przetwarzania danych osobowych (art. 21 RODO), w przypadku przetwarzania na podstawie art. 6 ust. 1 lit. f RODO.</w:t>
      </w:r>
    </w:p>
    <w:p>
      <w:pPr>
        <w:pStyle w:val="Normal"/>
        <w:spacing w:lineRule="exact" w:line="240" w:before="0" w:after="120"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>
      <w:pPr>
        <w:pStyle w:val="Normal"/>
        <w:spacing w:lineRule="exact" w:line="240" w:before="0" w:after="120"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</w:r>
    </w:p>
    <w:p>
      <w:pPr>
        <w:pStyle w:val="Normal"/>
        <w:spacing w:lineRule="exact" w:line="240" w:before="0" w:after="120"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Żądania wynikające z ww. uprawnień możecie Państwo kierować zarówno do Gminy - Miasta Płock jak i do GDDKiA.  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INFORMACJE O DOBROWOLNOŚCI LUB OBOWIĄZKU PODANIA DANYCH OSOBOWYCH</w:t>
      </w:r>
    </w:p>
    <w:p>
      <w:pPr>
        <w:pStyle w:val="Normal"/>
        <w:jc w:val="both"/>
        <w:rPr>
          <w:color w:themeColor="text1" w:val="000000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 xml:space="preserve">Podanie danych osobowych jest wymogiem niezbędnym w celu zawarcia i realizacji Umowy. Niepodanie wymaganych danych osobowych może skutkować niezawarciem lub utrudnieniem w realizacji przedmiotowej umowy. </w:t>
      </w:r>
    </w:p>
    <w:p>
      <w:pPr>
        <w:pStyle w:val="ListParagraph"/>
        <w:numPr>
          <w:ilvl w:val="0"/>
          <w:numId w:val="2"/>
        </w:numPr>
        <w:shd w:val="clear" w:color="auto" w:fill="E7E7E9"/>
        <w:spacing w:lineRule="atLeast" w:line="300" w:before="300" w:after="255"/>
        <w:ind w:hanging="357" w:left="714"/>
        <w:contextualSpacing/>
        <w:jc w:val="center"/>
        <w:textAlignment w:val="baseline"/>
        <w:outlineLvl w:val="1"/>
        <w:rPr>
          <w:rFonts w:ascii="inherit" w:hAnsi="inherit" w:eastAsia="Times New Roman" w:cs="Times New Roman"/>
          <w:b/>
          <w:bCs/>
          <w:color w:val="F58220"/>
          <w:sz w:val="23"/>
          <w:szCs w:val="23"/>
          <w:lang w:eastAsia="pl-PL"/>
        </w:rPr>
      </w:pPr>
      <w:r>
        <w:rPr>
          <w:rFonts w:eastAsia="Times New Roman" w:cs="Times New Roman" w:ascii="inherit" w:hAnsi="inherit"/>
          <w:b/>
          <w:bCs/>
          <w:color w:val="F58220"/>
          <w:sz w:val="23"/>
          <w:szCs w:val="23"/>
          <w:lang w:eastAsia="pl-PL"/>
        </w:rPr>
        <w:t>INFORMACJA O ZAUTOMATYZOWANYM PODEJMOWANIU DECYZJI, W TYM PROFILOWANIU</w:t>
      </w:r>
    </w:p>
    <w:p>
      <w:pPr>
        <w:pStyle w:val="Normal"/>
        <w:spacing w:before="0" w:after="120"/>
        <w:jc w:val="both"/>
        <w:rPr>
          <w:rFonts w:ascii="Verdana" w:hAnsi="Verdana" w:eastAsia="Times New Roman" w:cs="Times New Roman"/>
          <w:color w:themeColor="text1" w:val="000000"/>
          <w:sz w:val="18"/>
          <w:szCs w:val="18"/>
          <w:lang w:eastAsia="pl-PL"/>
        </w:rPr>
      </w:pPr>
      <w:r>
        <w:rPr>
          <w:rFonts w:eastAsia="Times New Roman" w:cs="Times New Roman" w:ascii="Verdana" w:hAnsi="Verdana"/>
          <w:color w:themeColor="text1" w:val="000000"/>
          <w:sz w:val="18"/>
          <w:szCs w:val="18"/>
          <w:lang w:eastAsia="pl-PL"/>
        </w:rPr>
        <w:t>Pani/Pana dane osobowe nie będą wykorzystywane do podejmowania zautomatyzowanych decyzji w indywidualnych przypadkach, w tym do profilowania, o którym mowa w art. 22 RODO.</w:t>
      </w:r>
    </w:p>
    <w:p>
      <w:pPr>
        <w:pStyle w:val="Normal"/>
        <w:spacing w:before="0" w:after="160"/>
        <w:jc w:val="both"/>
        <w:rPr>
          <w:color w:themeColor="text1" w:val="000000"/>
        </w:rPr>
      </w:pPr>
      <w:r>
        <w:rPr>
          <w:color w:themeColor="text1" w:val="00000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Fira Sans">
    <w:charset w:val="ee"/>
    <w:family w:val="swiss"/>
    <w:pitch w:val="variable"/>
  </w:font>
  <w:font w:name="Verdana">
    <w:charset w:val="ee"/>
    <w:family w:val="swiss"/>
    <w:pitch w:val="variable"/>
  </w:font>
  <w:font w:name="inheri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9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dd24c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Heading2">
    <w:name w:val="heading 2"/>
    <w:basedOn w:val="Normal"/>
    <w:link w:val="Nagwek2Znak"/>
    <w:uiPriority w:val="9"/>
    <w:qFormat/>
    <w:rsid w:val="00dd24c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d24c7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2Znak" w:customStyle="1">
    <w:name w:val="Nagłówek 2 Znak"/>
    <w:basedOn w:val="DefaultParagraphFont"/>
    <w:uiPriority w:val="9"/>
    <w:qFormat/>
    <w:rsid w:val="00dd24c7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unhideWhenUsed/>
    <w:rsid w:val="00dd24c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257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6f257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f257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f257e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010704"/>
    <w:rPr/>
  </w:style>
  <w:style w:type="character" w:styleId="StopkaZnak" w:customStyle="1">
    <w:name w:val="Stopka Znak"/>
    <w:basedOn w:val="DefaultParagraphFont"/>
    <w:uiPriority w:val="99"/>
    <w:qFormat/>
    <w:rsid w:val="00010704"/>
    <w:rPr/>
  </w:style>
  <w:style w:type="character" w:styleId="AkapitzlistZnak" w:customStyle="1">
    <w:name w:val="Akapit z listą Znak"/>
    <w:link w:val="ListParagraph"/>
    <w:uiPriority w:val="34"/>
    <w:qFormat/>
    <w:locked/>
    <w:rsid w:val="003125d1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125d1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3125d1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50056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dd24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0770bd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6f257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6f257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f25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107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107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ODO" w:customStyle="1">
    <w:name w:val="RODO"/>
    <w:basedOn w:val="Normal"/>
    <w:qFormat/>
    <w:rsid w:val="00084964"/>
    <w:pPr>
      <w:spacing w:lineRule="auto" w:line="276" w:before="0" w:after="80"/>
      <w:jc w:val="both"/>
    </w:pPr>
    <w:rPr>
      <w:rFonts w:ascii="Fira Sans" w:hAnsi="Fira Sans"/>
      <w:sz w:val="19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3125d1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5a0f2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Komentarz">
    <w:name w:val="Komentarz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ddkia.gov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4" ma:contentTypeDescription="Utwórz nowy dokument." ma:contentTypeScope="" ma:versionID="78ebed5ffd50be484177e457f1a7505c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e9abc58cf836b3fd82b75ad20ac58c93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C16B-E50C-46B1-A710-E62FCE218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14083-E9FD-44BA-9E9F-7BEC2434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9BA4F-8C39-4E70-8207-87F2002D8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B0A6B8-E52C-4A32-AAFE-04230777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LibreOffice/25.2.7.2$Windows_X86_64 LibreOffice_project/5cbfd1ab6520636bb5f7b99185aa69bd7456825d</Application>
  <AppVersion>15.0000</AppVersion>
  <Pages>4</Pages>
  <Words>1190</Words>
  <Characters>7486</Characters>
  <CharactersWithSpaces>8604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2024-06-05T07:43:00Z</dcterms:created>
  <dc:creator>Korczak Błażej</dc:creator>
  <dc:description/>
  <dc:language>pl-PL</dc:language>
  <cp:lastModifiedBy/>
  <dcterms:modified xsi:type="dcterms:W3CDTF">2026-04-01T13:29:03Z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  <property fmtid="{D5CDD505-2E9C-101B-9397-08002B2CF9AE}" pid="3" name="DLPManualFileClassification">
    <vt:lpwstr>{2755b7d9-e53d-4779-a40c-03797dcf43b3}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cationDate">
    <vt:lpwstr>2024-03-13T15:42:26.1884677+01:00</vt:lpwstr>
  </property>
  <property fmtid="{D5CDD505-2E9C-101B-9397-08002B2CF9AE}" pid="6" name="MFClassifiedBy">
    <vt:lpwstr>UxC4dwLulzfINJ8nQH+xvX5LNGipWa4BRSZhPgxsCvm9lvXZJZkmmpNRJZAe7+o8u/pgGtgWq7ihhDx1rK72rQ==</vt:lpwstr>
  </property>
  <property fmtid="{D5CDD505-2E9C-101B-9397-08002B2CF9AE}" pid="7" name="MFClassifiedBySID">
    <vt:lpwstr>UxC4dwLulzfINJ8nQH+xvX5LNGipWa4BRSZhPgxsCvm42mrIC/DSDv0ggS+FjUN/2v1BBotkLlY5aAiEhoi6uWOQjDXbca9l4pMk7hYqkEYiGlnDNa9z0BIW/tfw3UDi</vt:lpwstr>
  </property>
  <property fmtid="{D5CDD505-2E9C-101B-9397-08002B2CF9AE}" pid="8" name="MFGRNItemId">
    <vt:lpwstr>GRN-2ae3fd66-de05-4e7c-9f5f-7ad29d72829f</vt:lpwstr>
  </property>
  <property fmtid="{D5CDD505-2E9C-101B-9397-08002B2CF9AE}" pid="9" name="MFHash">
    <vt:lpwstr>K2FYL+7Rb4IzL/9CO/tioTqZjQi5RH/eZt/RD1+wsYo=</vt:lpwstr>
  </property>
  <property fmtid="{D5CDD505-2E9C-101B-9397-08002B2CF9AE}" pid="10" name="MFRefresh">
    <vt:lpwstr>False</vt:lpwstr>
  </property>
</Properties>
</file>